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AE12" w14:textId="07679B2F" w:rsidR="00230E44" w:rsidRPr="008A21F0" w:rsidRDefault="001A3EBE" w:rsidP="008314B9">
      <w:pPr>
        <w:contextualSpacing/>
        <w:rPr>
          <w:rFonts w:ascii="Marianne" w:eastAsia="Times New Roman" w:hAnsi="Marianne" w:cs="Times New Roman"/>
          <w:color w:val="000000" w:themeColor="text1"/>
          <w:sz w:val="16"/>
          <w:szCs w:val="16"/>
          <w:lang w:eastAsia="fr-FR"/>
        </w:rPr>
      </w:pPr>
      <w:r w:rsidRPr="00B23612"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9077B" wp14:editId="1B78D09B">
            <wp:simplePos x="0" y="0"/>
            <wp:positionH relativeFrom="margin">
              <wp:posOffset>-3175</wp:posOffset>
            </wp:positionH>
            <wp:positionV relativeFrom="paragraph">
              <wp:posOffset>0</wp:posOffset>
            </wp:positionV>
            <wp:extent cx="791845" cy="5473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demie_Nancy_Metz_2020_05_1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4B9" w:rsidRPr="008A21F0">
        <w:rPr>
          <w:rFonts w:ascii="Marianne" w:eastAsia="Times New Roman" w:hAnsi="Marianne" w:cs="Times New Roman"/>
          <w:color w:val="000000" w:themeColor="text1"/>
          <w:sz w:val="16"/>
          <w:szCs w:val="16"/>
          <w:lang w:eastAsia="fr-FR"/>
        </w:rPr>
        <w:t xml:space="preserve">Proposition de lettre de mission « référent culture » </w:t>
      </w:r>
    </w:p>
    <w:p w14:paraId="2274CF05" w14:textId="3D2CCB98" w:rsidR="008314B9" w:rsidRPr="008A21F0" w:rsidRDefault="008314B9" w:rsidP="008314B9">
      <w:pPr>
        <w:contextualSpacing/>
        <w:rPr>
          <w:rFonts w:ascii="Marianne" w:eastAsia="Times New Roman" w:hAnsi="Marianne" w:cs="Times New Roman"/>
          <w:color w:val="000000" w:themeColor="text1"/>
          <w:sz w:val="16"/>
          <w:szCs w:val="16"/>
          <w:lang w:eastAsia="fr-FR"/>
        </w:rPr>
      </w:pPr>
      <w:r w:rsidRPr="008A21F0">
        <w:rPr>
          <w:rFonts w:ascii="Marianne" w:eastAsia="Times New Roman" w:hAnsi="Marianne" w:cs="Times New Roman"/>
          <w:color w:val="000000" w:themeColor="text1"/>
          <w:sz w:val="16"/>
          <w:szCs w:val="16"/>
          <w:lang w:eastAsia="fr-FR"/>
        </w:rPr>
        <w:t>Délégation académique à l’éducation artistique et à l’action culturelle – Académie Nancy-Metz – Région académique Grand Est</w:t>
      </w:r>
    </w:p>
    <w:p w14:paraId="7D908335" w14:textId="04E77D7D" w:rsidR="008314B9" w:rsidRDefault="008314B9" w:rsidP="008314B9">
      <w:pPr>
        <w:contextualSpacing/>
        <w:rPr>
          <w:sz w:val="18"/>
          <w:szCs w:val="18"/>
        </w:rPr>
      </w:pPr>
    </w:p>
    <w:p w14:paraId="3FC5DA36" w14:textId="77777777" w:rsidR="001A3EBE" w:rsidRPr="00717F8D" w:rsidRDefault="001A3EBE" w:rsidP="008314B9">
      <w:pPr>
        <w:contextualSpacing/>
        <w:rPr>
          <w:sz w:val="18"/>
          <w:szCs w:val="18"/>
        </w:rPr>
      </w:pPr>
    </w:p>
    <w:p w14:paraId="208873A8" w14:textId="0392CACF" w:rsidR="004769B2" w:rsidRPr="00717F8D" w:rsidRDefault="008314B9" w:rsidP="004769B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Lettre de mission « Référent culture</w:t>
      </w:r>
      <w:r w:rsidR="008A21F0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» Année </w:t>
      </w:r>
      <w:proofErr w:type="gram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scolaire  2022</w:t>
      </w:r>
      <w:proofErr w:type="gram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/202</w:t>
      </w:r>
      <w:r w:rsidR="00230E44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3</w:t>
      </w:r>
    </w:p>
    <w:p w14:paraId="2EB59AAC" w14:textId="2CEE9D8B" w:rsidR="004769B2" w:rsidRPr="00717F8D" w:rsidRDefault="004769B2" w:rsidP="008314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! Le référent culture doit </w:t>
      </w:r>
      <w:r w:rsidR="00230E44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ê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tre référencé sur l’application ADAGE</w:t>
      </w:r>
      <w:r w:rsidR="008A21F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</w:t>
      </w:r>
      <w:r w:rsidR="004F2B85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!</w:t>
      </w:r>
    </w:p>
    <w:p w14:paraId="546093BF" w14:textId="77777777" w:rsidR="00FE3A1E" w:rsidRPr="00717F8D" w:rsidRDefault="00FE3A1E" w:rsidP="008314B9">
      <w:pPr>
        <w:contextualSpacing/>
        <w:rPr>
          <w:sz w:val="18"/>
          <w:szCs w:val="18"/>
        </w:rPr>
      </w:pPr>
    </w:p>
    <w:p w14:paraId="69DC1D49" w14:textId="7C7C9EB6" w:rsidR="002042A3" w:rsidRPr="00717F8D" w:rsidRDefault="0066261D" w:rsidP="00FE3A1E">
      <w:pPr>
        <w:jc w:val="both"/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Prénom NOM est nommé(e) référent culture pour l’année 2022-2023. </w:t>
      </w:r>
      <w:r w:rsidR="002042A3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Le référent culture est l’interlocuteur du chef d’établissement dans la mise en oeuvre et l’</w:t>
      </w:r>
      <w:proofErr w:type="spellStart"/>
      <w:r w:rsidR="002042A3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évaluation</w:t>
      </w:r>
      <w:proofErr w:type="spellEnd"/>
      <w:r w:rsidR="002042A3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de la généralisation de l’éducation artistique et culturelle, au service de l’égalité des chances. Il mène sa mission en lien étroit avec </w:t>
      </w:r>
      <w:r w:rsidR="00582296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la Délégation académique à l’éducation artistique et à l’action culturelle (DAAC</w:t>
      </w:r>
      <w:r w:rsidR="002042A3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). 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</w:p>
    <w:p w14:paraId="53E1AB7F" w14:textId="137CF8E3" w:rsidR="00E15F3C" w:rsidRPr="00717F8D" w:rsidRDefault="00E15F3C" w:rsidP="00FE3A1E">
      <w:pPr>
        <w:jc w:val="both"/>
        <w:rPr>
          <w:sz w:val="18"/>
          <w:szCs w:val="18"/>
        </w:rPr>
      </w:pPr>
    </w:p>
    <w:p w14:paraId="12E86510" w14:textId="1C7F1D11" w:rsidR="00BE7155" w:rsidRPr="00717F8D" w:rsidRDefault="00E15F3C" w:rsidP="00FE3A1E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Le référent culture</w:t>
      </w:r>
      <w:r w:rsidR="0065157B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est garant du volet culturel, en cohérence avec le projet d’établissement. </w:t>
      </w:r>
      <w:r w:rsidR="00B12E4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En accord avec le 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chef d’établissement, il intervient en conseil pédagogique pour partager les indicateurs, à partir des actions </w:t>
      </w:r>
      <w:r w:rsidR="00C0495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et bilans recensés 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sur ADAGE</w:t>
      </w:r>
      <w:r w:rsidR="00B12E4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, et </w:t>
      </w:r>
      <w:r w:rsidR="00E44AF9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mobiliser</w:t>
      </w:r>
      <w:r w:rsidR="00B12E4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="00B12E4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pass</w:t>
      </w:r>
      <w:proofErr w:type="spellEnd"/>
      <w:r w:rsidR="00B12E4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Cultur</w:t>
      </w:r>
      <w:r w:rsidR="00E44AF9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e en direction des classes prioritaires.</w:t>
      </w:r>
      <w:r w:rsidR="00A2346B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Il facilite l’engagement des professeurs dans les projets et actions, dans la diversité des domaines</w:t>
      </w:r>
      <w:r w:rsidR="007E6DB9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, </w:t>
      </w:r>
      <w:r w:rsidR="00895D83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sans s’y substituer. </w:t>
      </w:r>
      <w:r w:rsidR="007D67AC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Il communique autour </w:t>
      </w:r>
      <w:r w:rsidR="0065157B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des actions </w:t>
      </w:r>
      <w:proofErr w:type="spellStart"/>
      <w:r w:rsidR="0065157B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pass</w:t>
      </w:r>
      <w:proofErr w:type="spellEnd"/>
      <w:r w:rsidR="0065157B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Culture et </w:t>
      </w:r>
      <w:r w:rsidR="007D67AC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accompagne </w:t>
      </w:r>
      <w:r w:rsidR="007E6DB9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la mise en place d’un temps fort, idéalement autour des Nuits de la lecture.</w:t>
      </w:r>
    </w:p>
    <w:p w14:paraId="1C26EBC2" w14:textId="1C2F20E9" w:rsidR="00825030" w:rsidRPr="00717F8D" w:rsidRDefault="00825030" w:rsidP="00FE3A1E">
      <w:pPr>
        <w:jc w:val="both"/>
        <w:rPr>
          <w:sz w:val="18"/>
          <w:szCs w:val="18"/>
        </w:rPr>
      </w:pPr>
    </w:p>
    <w:p w14:paraId="2C2D88E3" w14:textId="7C728D29" w:rsidR="007E6DB9" w:rsidRPr="00717F8D" w:rsidRDefault="002042A3" w:rsidP="00FE3A1E">
      <w:pPr>
        <w:jc w:val="both"/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En fonction </w:t>
      </w:r>
      <w:r w:rsidR="0065157B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du contexte propre à 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l’établissement, </w:t>
      </w:r>
      <w:r w:rsidR="00AD7009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les </w:t>
      </w:r>
      <w:r w:rsidR="009A2AE3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priorités suivantes</w:t>
      </w:r>
      <w:r w:rsidR="00AD7009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sont défini</w:t>
      </w:r>
      <w:r w:rsidR="002D2FCD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es</w:t>
      </w:r>
      <w:r w:rsidR="00717F8D" w:rsidRPr="00717F8D">
        <w:rPr>
          <w:rStyle w:val="Appelnotedebasdep"/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footnoteReference w:id="1"/>
      </w:r>
      <w:r w:rsidR="009A2AE3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 : </w:t>
      </w:r>
    </w:p>
    <w:p w14:paraId="0BDA1249" w14:textId="7292FAF9" w:rsidR="00E52DC9" w:rsidRPr="00717F8D" w:rsidRDefault="00E52DC9" w:rsidP="008A21F0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Se former et s’informer, en lien avec la DAAC, pour saisir les évolution</w:t>
      </w:r>
      <w:r w:rsidR="009914EF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s 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de </w:t>
      </w:r>
      <w:r w:rsidR="00D66E3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l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a mission</w:t>
      </w:r>
    </w:p>
    <w:p w14:paraId="0BB30FB5" w14:textId="48009FAB" w:rsidR="00C04950" w:rsidRPr="00717F8D" w:rsidRDefault="00C04950" w:rsidP="008A21F0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Accompagner les enseignants dans l’appropriation d’ADAGE et des offres </w:t>
      </w:r>
      <w:proofErr w:type="spellStart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pass</w:t>
      </w:r>
      <w:proofErr w:type="spellEnd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Culture</w:t>
      </w:r>
    </w:p>
    <w:p w14:paraId="5AFA2DF9" w14:textId="0BE6C5F5" w:rsidR="001D6BE1" w:rsidRPr="00717F8D" w:rsidRDefault="001D6BE1" w:rsidP="001D6BE1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Faciliter l’engagement dans des projets pluridisciplinaires et partenariaux</w:t>
      </w:r>
    </w:p>
    <w:p w14:paraId="70BE759E" w14:textId="60EC4D6D" w:rsidR="007E6DB9" w:rsidRPr="00717F8D" w:rsidRDefault="007E6DB9" w:rsidP="008A21F0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Sensibiliser et </w:t>
      </w:r>
      <w:r w:rsidR="00116112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engager 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les enseignants, dans la diversité des disciplines</w:t>
      </w:r>
    </w:p>
    <w:p w14:paraId="06272E8C" w14:textId="7A794462" w:rsidR="00E52DC9" w:rsidRPr="00717F8D" w:rsidRDefault="00D66E30" w:rsidP="008A21F0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Organiser un temps fort, idéalement autour de la Nuit de la lecture</w:t>
      </w:r>
    </w:p>
    <w:p w14:paraId="194151F9" w14:textId="0319850A" w:rsidR="00C04950" w:rsidRPr="00717F8D" w:rsidRDefault="00C04950" w:rsidP="008A21F0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Valoriser et partager les actions conduites pour fédérer et engager la communauté éducative</w:t>
      </w:r>
    </w:p>
    <w:p w14:paraId="338B935A" w14:textId="0AE787EF" w:rsidR="00C04950" w:rsidRPr="00717F8D" w:rsidRDefault="00116112" w:rsidP="008A21F0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Associer les élèves via ‘</w:t>
      </w:r>
      <w:r w:rsidR="00D66E3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Jeunes passeurs de culture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’,</w:t>
      </w:r>
      <w:r w:rsidR="00D66E3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en lien avec la DAVL</w:t>
      </w:r>
    </w:p>
    <w:p w14:paraId="6F56869B" w14:textId="16D4B077" w:rsidR="00556933" w:rsidRPr="00717F8D" w:rsidRDefault="00556933" w:rsidP="008A21F0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Permettre à l’élève de retracer et valoriser son expérience (ex : oral DNB, </w:t>
      </w:r>
      <w:proofErr w:type="spellStart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Parcoursup</w:t>
      </w:r>
      <w:proofErr w:type="spellEnd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...)</w:t>
      </w:r>
    </w:p>
    <w:p w14:paraId="6AD661B1" w14:textId="77777777" w:rsidR="001D6BE1" w:rsidRPr="00717F8D" w:rsidRDefault="001D6BE1" w:rsidP="001D6BE1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S’appuyer sur le Lieu d’Art et de Culture, et le faire vivre en lien avec le professeur référent</w:t>
      </w:r>
    </w:p>
    <w:p w14:paraId="30470282" w14:textId="1F27793C" w:rsidR="00911A0C" w:rsidRPr="00717F8D" w:rsidRDefault="00911A0C" w:rsidP="00911A0C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Travailler en réseau d’établissements : écoles, collèges, lycées</w:t>
      </w:r>
    </w:p>
    <w:p w14:paraId="772A26E4" w14:textId="6093BF87" w:rsidR="00911A0C" w:rsidRPr="00717F8D" w:rsidRDefault="00911A0C" w:rsidP="00911A0C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Prendre appui sur la dynamique de territoire, participer aux comités technique</w:t>
      </w:r>
      <w:r w:rsidR="003A51E3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s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(Contrat territorial EAC)</w:t>
      </w:r>
    </w:p>
    <w:p w14:paraId="437402DA" w14:textId="1966A002" w:rsidR="00116112" w:rsidRPr="00717F8D" w:rsidRDefault="00C04950" w:rsidP="008A21F0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Articuler </w:t>
      </w:r>
      <w:r w:rsidR="00116112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volet culturel et </w:t>
      </w:r>
      <w:r w:rsidR="00911A0C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contrat d’objectifs ou projet de territoire 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(ex : territoire éducatif rural)</w:t>
      </w:r>
    </w:p>
    <w:p w14:paraId="406AE50E" w14:textId="5B6BFA2F" w:rsidR="0065157B" w:rsidRPr="00717F8D" w:rsidRDefault="00116112" w:rsidP="008A21F0">
      <w:pPr>
        <w:pStyle w:val="Paragraphedeliste"/>
        <w:numPr>
          <w:ilvl w:val="0"/>
          <w:numId w:val="4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Contribuer </w:t>
      </w:r>
      <w:proofErr w:type="gramStart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au</w:t>
      </w:r>
      <w:proofErr w:type="gramEnd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</w:t>
      </w:r>
      <w:r w:rsidR="00C0495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lan </w:t>
      </w:r>
      <w:r w:rsidR="00C0495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L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ocal de </w:t>
      </w:r>
      <w:r w:rsidR="00C04950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F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ormation</w:t>
      </w:r>
    </w:p>
    <w:p w14:paraId="7D79746C" w14:textId="77777777" w:rsidR="009A2AE3" w:rsidRPr="00717F8D" w:rsidRDefault="009A2AE3" w:rsidP="00FE3A1E">
      <w:pPr>
        <w:contextualSpacing/>
        <w:jc w:val="both"/>
        <w:rPr>
          <w:sz w:val="18"/>
          <w:szCs w:val="18"/>
        </w:rPr>
      </w:pPr>
    </w:p>
    <w:p w14:paraId="5AE71A35" w14:textId="5B7263B0" w:rsidR="00FE3A1E" w:rsidRPr="00717F8D" w:rsidRDefault="00AD7009" w:rsidP="00FE3A1E">
      <w:pPr>
        <w:jc w:val="both"/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P</w:t>
      </w:r>
      <w:r w:rsid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récisions</w:t>
      </w:r>
      <w:r w:rsidR="0065157B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proofErr w:type="gramStart"/>
      <w:r w:rsidR="0065157B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complémentaires:</w:t>
      </w:r>
      <w:proofErr w:type="gramEnd"/>
      <w:r w:rsidR="0065157B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</w:p>
    <w:p w14:paraId="4D0546A7" w14:textId="77777777" w:rsidR="0065157B" w:rsidRPr="00717F8D" w:rsidRDefault="0065157B" w:rsidP="0065157B">
      <w:pPr>
        <w:contextualSpacing/>
        <w:jc w:val="both"/>
        <w:rPr>
          <w:sz w:val="18"/>
          <w:szCs w:val="18"/>
        </w:rPr>
      </w:pPr>
    </w:p>
    <w:p w14:paraId="23D0DC67" w14:textId="77777777" w:rsidR="005F738F" w:rsidRPr="00717F8D" w:rsidRDefault="005F738F" w:rsidP="0065157B">
      <w:pPr>
        <w:contextualSpacing/>
        <w:jc w:val="both"/>
        <w:rPr>
          <w:b/>
          <w:bCs/>
          <w:sz w:val="18"/>
          <w:szCs w:val="18"/>
        </w:rPr>
      </w:pPr>
    </w:p>
    <w:p w14:paraId="17FE8BCE" w14:textId="77777777" w:rsidR="005F738F" w:rsidRPr="00717F8D" w:rsidRDefault="005F738F" w:rsidP="0065157B">
      <w:pPr>
        <w:contextualSpacing/>
        <w:jc w:val="both"/>
        <w:rPr>
          <w:b/>
          <w:bCs/>
          <w:sz w:val="18"/>
          <w:szCs w:val="18"/>
        </w:rPr>
      </w:pPr>
    </w:p>
    <w:p w14:paraId="6ADF128D" w14:textId="77777777" w:rsidR="005F738F" w:rsidRPr="00717F8D" w:rsidRDefault="005F738F" w:rsidP="0065157B">
      <w:pPr>
        <w:contextualSpacing/>
        <w:jc w:val="both"/>
        <w:rPr>
          <w:b/>
          <w:bCs/>
          <w:sz w:val="18"/>
          <w:szCs w:val="18"/>
        </w:rPr>
      </w:pPr>
    </w:p>
    <w:p w14:paraId="0B2C5090" w14:textId="77777777" w:rsidR="005F738F" w:rsidRPr="00717F8D" w:rsidRDefault="005F738F" w:rsidP="0065157B">
      <w:pPr>
        <w:contextualSpacing/>
        <w:jc w:val="both"/>
        <w:rPr>
          <w:b/>
          <w:bCs/>
          <w:sz w:val="18"/>
          <w:szCs w:val="18"/>
        </w:rPr>
      </w:pPr>
    </w:p>
    <w:p w14:paraId="4E58B0B9" w14:textId="0AD792ED" w:rsidR="00D011DC" w:rsidRPr="00717F8D" w:rsidRDefault="00D011DC" w:rsidP="0065157B">
      <w:pPr>
        <w:contextualSpacing/>
        <w:jc w:val="both"/>
        <w:rPr>
          <w:b/>
          <w:bCs/>
          <w:sz w:val="18"/>
          <w:szCs w:val="18"/>
        </w:rPr>
      </w:pPr>
      <w:r w:rsidRPr="00717F8D">
        <w:rPr>
          <w:b/>
          <w:bCs/>
          <w:sz w:val="18"/>
          <w:szCs w:val="18"/>
        </w:rPr>
        <w:t xml:space="preserve">Textes de </w:t>
      </w:r>
      <w:proofErr w:type="spellStart"/>
      <w:r w:rsidRPr="00717F8D">
        <w:rPr>
          <w:b/>
          <w:bCs/>
          <w:sz w:val="18"/>
          <w:szCs w:val="18"/>
        </w:rPr>
        <w:t>référence</w:t>
      </w:r>
      <w:proofErr w:type="spellEnd"/>
      <w:r w:rsidRPr="00717F8D">
        <w:rPr>
          <w:b/>
          <w:bCs/>
          <w:sz w:val="18"/>
          <w:szCs w:val="18"/>
        </w:rPr>
        <w:t xml:space="preserve"> : </w:t>
      </w:r>
    </w:p>
    <w:p w14:paraId="6D81487F" w14:textId="77777777" w:rsidR="00D011DC" w:rsidRPr="00717F8D" w:rsidRDefault="007D4702" w:rsidP="0065157B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Mise en œuvre du volet culturel par le référent culture : </w:t>
      </w:r>
      <w:hyperlink r:id="rId8" w:tgtFrame="_blank" w:history="1">
        <w:r w:rsidRPr="00717F8D">
          <w:rPr>
            <w:rFonts w:ascii="Marianne" w:eastAsia="Times New Roman" w:hAnsi="Marianne" w:cs="Times New Roman"/>
            <w:color w:val="000000" w:themeColor="text1"/>
            <w:sz w:val="18"/>
            <w:szCs w:val="18"/>
            <w:lang w:eastAsia="fr-FR"/>
          </w:rPr>
          <w:t> </w:t>
        </w:r>
      </w:hyperlink>
      <w:hyperlink r:id="rId9" w:tgtFrame="_blank" w:history="1">
        <w:r w:rsidRPr="00717F8D">
          <w:rPr>
            <w:rFonts w:ascii="Marianne" w:eastAsia="Times New Roman" w:hAnsi="Marianne" w:cs="Times New Roman"/>
            <w:color w:val="000000" w:themeColor="text1"/>
            <w:sz w:val="18"/>
            <w:szCs w:val="18"/>
            <w:lang w:eastAsia="fr-FR"/>
          </w:rPr>
          <w:t> B.O. spécial n°1 du 4 février 2010 </w:t>
        </w:r>
      </w:hyperlink>
    </w:p>
    <w:p w14:paraId="4E19B6F8" w14:textId="5343DCFA" w:rsidR="007D4702" w:rsidRPr="00717F8D" w:rsidRDefault="007D4702" w:rsidP="0065157B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Indemnités pour mission particulière : </w:t>
      </w:r>
      <w:hyperlink r:id="rId10" w:tgtFrame="_blank" w:history="1">
        <w:r w:rsidRPr="00717F8D">
          <w:rPr>
            <w:rFonts w:ascii="Marianne" w:eastAsia="Times New Roman" w:hAnsi="Marianne" w:cs="Times New Roman"/>
            <w:color w:val="000000" w:themeColor="text1"/>
            <w:sz w:val="18"/>
            <w:szCs w:val="18"/>
            <w:lang w:eastAsia="fr-FR"/>
          </w:rPr>
          <w:t> </w:t>
        </w:r>
      </w:hyperlink>
      <w:hyperlink r:id="rId11" w:tgtFrame="_blank" w:history="1">
        <w:r w:rsidRPr="00717F8D">
          <w:rPr>
            <w:rFonts w:ascii="Marianne" w:eastAsia="Times New Roman" w:hAnsi="Marianne" w:cs="Times New Roman"/>
            <w:color w:val="000000" w:themeColor="text1"/>
            <w:sz w:val="18"/>
            <w:szCs w:val="18"/>
            <w:lang w:eastAsia="fr-FR"/>
          </w:rPr>
          <w:t> B.O. n°18 du 30 avril 2015 </w:t>
        </w:r>
      </w:hyperlink>
    </w:p>
    <w:p w14:paraId="2AEAE95F" w14:textId="5FDD768C" w:rsidR="007D4702" w:rsidRPr="00717F8D" w:rsidRDefault="007D4702" w:rsidP="0065157B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Parcours d’Éducation Artistique et Culturelle :</w:t>
      </w:r>
      <w:hyperlink r:id="rId12" w:tgtFrame="_blank" w:history="1">
        <w:r w:rsidRPr="00717F8D">
          <w:rPr>
            <w:rFonts w:ascii="Marianne" w:eastAsia="Times New Roman" w:hAnsi="Marianne" w:cs="Times New Roman"/>
            <w:color w:val="000000" w:themeColor="text1"/>
            <w:sz w:val="18"/>
            <w:szCs w:val="18"/>
            <w:lang w:eastAsia="fr-FR"/>
          </w:rPr>
          <w:t> </w:t>
        </w:r>
      </w:hyperlink>
      <w:hyperlink r:id="rId13" w:tgtFrame="_blank" w:history="1">
        <w:r w:rsidRPr="00717F8D">
          <w:rPr>
            <w:rFonts w:ascii="Marianne" w:eastAsia="Times New Roman" w:hAnsi="Marianne" w:cs="Times New Roman"/>
            <w:color w:val="000000" w:themeColor="text1"/>
            <w:sz w:val="18"/>
            <w:szCs w:val="18"/>
            <w:lang w:eastAsia="fr-FR"/>
          </w:rPr>
          <w:t>  Arrêté du 1-7-2015 - J.O. du 7-7-2015 </w:t>
        </w:r>
      </w:hyperlink>
    </w:p>
    <w:p w14:paraId="1107BCC7" w14:textId="4CF8D7D6" w:rsidR="007D4702" w:rsidRPr="00717F8D" w:rsidRDefault="007D4702" w:rsidP="0065157B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Décret relatif à l'extension du </w:t>
      </w:r>
      <w:proofErr w:type="spellStart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pass</w:t>
      </w:r>
      <w:proofErr w:type="spellEnd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Culture</w:t>
      </w:r>
      <w:r w:rsidR="00D011DC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: </w:t>
      </w:r>
      <w:hyperlink r:id="rId14" w:tgtFrame="_blank" w:history="1">
        <w:r w:rsidRPr="00717F8D">
          <w:rPr>
            <w:rFonts w:ascii="Marianne" w:eastAsia="Times New Roman" w:hAnsi="Marianne" w:cs="Times New Roman"/>
            <w:color w:val="000000" w:themeColor="text1"/>
            <w:sz w:val="18"/>
            <w:szCs w:val="18"/>
            <w:lang w:eastAsia="fr-FR"/>
          </w:rPr>
          <w:t> </w:t>
        </w:r>
      </w:hyperlink>
      <w:hyperlink r:id="rId15" w:tgtFrame="_blank" w:history="1">
        <w:r w:rsidRPr="00717F8D">
          <w:rPr>
            <w:rFonts w:ascii="Marianne" w:eastAsia="Times New Roman" w:hAnsi="Marianne" w:cs="Times New Roman"/>
            <w:color w:val="000000" w:themeColor="text1"/>
            <w:sz w:val="18"/>
            <w:szCs w:val="18"/>
            <w:lang w:eastAsia="fr-FR"/>
          </w:rPr>
          <w:t>https://www.legifrance.gouv.fr/jorf/id/JORFTEXT000044294126</w:t>
        </w:r>
      </w:hyperlink>
    </w:p>
    <w:p w14:paraId="05F50BB9" w14:textId="77777777" w:rsidR="00B612FB" w:rsidRPr="00717F8D" w:rsidRDefault="00B612FB" w:rsidP="00B612FB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</w:p>
    <w:p w14:paraId="2368CAFE" w14:textId="45BA5D17" w:rsidR="0066261D" w:rsidRPr="00717F8D" w:rsidRDefault="0066261D" w:rsidP="00B612FB">
      <w:pPr>
        <w:jc w:val="both"/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Pour effectuer cette mission</w:t>
      </w:r>
      <w:r w:rsidR="008314B9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, l’établissement 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attribue </w:t>
      </w:r>
      <w:r w:rsidR="008314B9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... </w:t>
      </w:r>
      <w:r w:rsidR="0032466D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Indemnité</w:t>
      </w:r>
      <w:r w:rsidR="004769B2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pour 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M</w:t>
      </w:r>
      <w:r w:rsidR="004769B2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ission 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P</w:t>
      </w:r>
      <w:r w:rsidR="004769B2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articulière, </w:t>
      </w:r>
      <w:proofErr w:type="spell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versée</w:t>
      </w:r>
      <w:proofErr w:type="spell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au cours de l’</w:t>
      </w:r>
      <w:proofErr w:type="spell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année</w:t>
      </w:r>
      <w:proofErr w:type="spell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r w:rsidR="008314B9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2022-2023. </w:t>
      </w:r>
      <w:r w:rsidR="004769B2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La mission est </w:t>
      </w:r>
      <w:proofErr w:type="spell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exercée</w:t>
      </w:r>
      <w:proofErr w:type="spell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sous la </w:t>
      </w:r>
      <w:proofErr w:type="spell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responsabilite</w:t>
      </w:r>
      <w:proofErr w:type="spell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́ d</w:t>
      </w:r>
      <w:r w:rsidR="008314B9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u chef d’établissement et</w:t>
      </w:r>
      <w:r w:rsidR="00990E0C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,</w:t>
      </w:r>
      <w:r w:rsidR="008314B9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pe</w:t>
      </w:r>
      <w:r w:rsidR="004769B2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u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t faire l’objet d’un entretien en </w:t>
      </w:r>
      <w:proofErr w:type="spell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présence</w:t>
      </w:r>
      <w:proofErr w:type="spell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de l’IA IPR de la discipline. Chaque </w:t>
      </w:r>
      <w:proofErr w:type="spell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année</w:t>
      </w:r>
      <w:proofErr w:type="spell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, l</w:t>
      </w:r>
      <w:r w:rsidR="008314B9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e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r w:rsidR="004769B2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référent culture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r w:rsidR="004769B2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fait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parvenir au mois de juin un rapport d'</w:t>
      </w:r>
      <w:proofErr w:type="spell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activités</w:t>
      </w:r>
      <w:proofErr w:type="spell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détaille</w:t>
      </w:r>
      <w:proofErr w:type="spell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́ </w:t>
      </w:r>
      <w:proofErr w:type="spellStart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auprès</w:t>
      </w:r>
      <w:proofErr w:type="spellEnd"/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 </w:t>
      </w:r>
      <w:r w:rsidR="008314B9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 xml:space="preserve">du chef d’établissement et </w:t>
      </w:r>
      <w:r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de la DAAC</w:t>
      </w:r>
      <w:r w:rsidR="004769B2" w:rsidRPr="00717F8D">
        <w:rPr>
          <w:rFonts w:ascii="Marianne" w:eastAsia="Times New Roman" w:hAnsi="Marianne" w:cs="Times New Roman"/>
          <w:b/>
          <w:bCs/>
          <w:color w:val="000000" w:themeColor="text1"/>
          <w:sz w:val="18"/>
          <w:szCs w:val="18"/>
          <w:lang w:eastAsia="fr-FR"/>
        </w:rPr>
        <w:t>.</w:t>
      </w:r>
    </w:p>
    <w:p w14:paraId="62AEDADE" w14:textId="77777777" w:rsidR="004769B2" w:rsidRPr="00717F8D" w:rsidRDefault="004769B2" w:rsidP="008A21F0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</w:p>
    <w:p w14:paraId="19B75112" w14:textId="77777777" w:rsidR="004F2B85" w:rsidRPr="00717F8D" w:rsidRDefault="008314B9" w:rsidP="008A21F0">
      <w:pPr>
        <w:jc w:val="right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Prénom NOM </w:t>
      </w:r>
    </w:p>
    <w:p w14:paraId="06404958" w14:textId="2DBC02BB" w:rsidR="0066261D" w:rsidRPr="00717F8D" w:rsidRDefault="008A21F0" w:rsidP="008A21F0">
      <w:pPr>
        <w:jc w:val="right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C</w:t>
      </w:r>
      <w:r w:rsidR="008314B9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hef d’établissement</w:t>
      </w:r>
    </w:p>
    <w:p w14:paraId="1ABAEF2A" w14:textId="77777777" w:rsidR="00717F8D" w:rsidRDefault="00717F8D" w:rsidP="008A21F0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</w:p>
    <w:p w14:paraId="158B4D7C" w14:textId="77777777" w:rsidR="00717F8D" w:rsidRDefault="00717F8D" w:rsidP="008A21F0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</w:p>
    <w:p w14:paraId="4C6D7F79" w14:textId="1C28548F" w:rsidR="004769B2" w:rsidRPr="00717F8D" w:rsidRDefault="0066261D" w:rsidP="008A21F0">
      <w:p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Copies :</w:t>
      </w:r>
    </w:p>
    <w:p w14:paraId="250D0407" w14:textId="37975360" w:rsidR="005F738F" w:rsidRPr="00717F8D" w:rsidRDefault="005F738F" w:rsidP="00990E0C">
      <w:pPr>
        <w:pStyle w:val="Paragraphedeliste"/>
        <w:numPr>
          <w:ilvl w:val="0"/>
          <w:numId w:val="5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Délégation académique à l’éducation artistique et à l’action culturelle (DAAC).  </w:t>
      </w:r>
    </w:p>
    <w:p w14:paraId="6F3D46FD" w14:textId="1A773C7B" w:rsidR="0066261D" w:rsidRPr="00717F8D" w:rsidRDefault="0066261D" w:rsidP="008A21F0">
      <w:pPr>
        <w:pStyle w:val="Paragraphedeliste"/>
        <w:numPr>
          <w:ilvl w:val="0"/>
          <w:numId w:val="5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Inspecteurs d’</w:t>
      </w:r>
      <w:proofErr w:type="spellStart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Académie</w:t>
      </w:r>
      <w:proofErr w:type="spellEnd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</w:t>
      </w:r>
      <w:r w:rsidR="009A2AE3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- </w:t>
      </w: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Inspecteurs </w:t>
      </w:r>
      <w:proofErr w:type="spellStart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Pédagogiques</w:t>
      </w:r>
      <w:proofErr w:type="spellEnd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proofErr w:type="gramStart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Régionaux</w:t>
      </w:r>
      <w:proofErr w:type="spellEnd"/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</w:t>
      </w:r>
      <w:r w:rsidR="009A2AE3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(</w:t>
      </w:r>
      <w:proofErr w:type="gramEnd"/>
      <w:r w:rsidR="009A2AE3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IA-IPR)</w:t>
      </w:r>
      <w:r w:rsidR="004F2B85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 ou Inspecteurs de l’Éducation Nationale 2ND Degré : référent établissement et </w:t>
      </w:r>
      <w:r w:rsidR="0032466D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 xml:space="preserve">référent </w:t>
      </w:r>
      <w:r w:rsidR="004F2B85"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de la discipline</w:t>
      </w:r>
    </w:p>
    <w:p w14:paraId="6B57F234" w14:textId="2922D504" w:rsidR="0032466D" w:rsidRPr="00717F8D" w:rsidRDefault="0032466D" w:rsidP="008A21F0">
      <w:pPr>
        <w:pStyle w:val="Paragraphedeliste"/>
        <w:numPr>
          <w:ilvl w:val="0"/>
          <w:numId w:val="5"/>
        </w:numPr>
        <w:jc w:val="both"/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</w:pPr>
      <w:r w:rsidRPr="00717F8D">
        <w:rPr>
          <w:rFonts w:ascii="Marianne" w:eastAsia="Times New Roman" w:hAnsi="Marianne" w:cs="Times New Roman"/>
          <w:color w:val="000000" w:themeColor="text1"/>
          <w:sz w:val="18"/>
          <w:szCs w:val="18"/>
          <w:lang w:eastAsia="fr-FR"/>
        </w:rPr>
        <w:t>Pour les collèges, copie à l’Inspecteur de l’Éducation Nationale de circonscription</w:t>
      </w:r>
    </w:p>
    <w:sectPr w:rsidR="0032466D" w:rsidRPr="0071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D79F" w14:textId="77777777" w:rsidR="001D4846" w:rsidRDefault="001D4846" w:rsidP="00AD7009">
      <w:r>
        <w:separator/>
      </w:r>
    </w:p>
  </w:endnote>
  <w:endnote w:type="continuationSeparator" w:id="0">
    <w:p w14:paraId="00BF1B88" w14:textId="77777777" w:rsidR="001D4846" w:rsidRDefault="001D4846" w:rsidP="00AD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A654" w14:textId="77777777" w:rsidR="001D4846" w:rsidRDefault="001D4846" w:rsidP="00AD7009">
      <w:r>
        <w:separator/>
      </w:r>
    </w:p>
  </w:footnote>
  <w:footnote w:type="continuationSeparator" w:id="0">
    <w:p w14:paraId="730FF2F8" w14:textId="77777777" w:rsidR="001D4846" w:rsidRDefault="001D4846" w:rsidP="00AD7009">
      <w:r>
        <w:continuationSeparator/>
      </w:r>
    </w:p>
  </w:footnote>
  <w:footnote w:id="1">
    <w:p w14:paraId="519E6BCF" w14:textId="6084148D" w:rsidR="00717F8D" w:rsidRDefault="00717F8D">
      <w:pPr>
        <w:pStyle w:val="Notedebasdepage"/>
      </w:pPr>
      <w:r>
        <w:rPr>
          <w:rStyle w:val="Appelnotedebasdep"/>
        </w:rPr>
        <w:footnoteRef/>
      </w:r>
      <w:r w:rsidRPr="00717F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Hiérarchiser les priorités retenues </w:t>
      </w:r>
      <w:r w:rsidRPr="00717F8D">
        <w:rPr>
          <w:sz w:val="16"/>
          <w:szCs w:val="16"/>
        </w:rPr>
        <w:t>pour l’année scolaire en cours</w:t>
      </w:r>
      <w:r>
        <w:rPr>
          <w:sz w:val="16"/>
          <w:szCs w:val="16"/>
        </w:rPr>
        <w:t xml:space="preserve"> au regard du contexte de l’établissement et de l’ancienneté du référent culture dans la mission. Le rapport d’activité sera lié à ces priorités.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7D5"/>
    <w:multiLevelType w:val="multilevel"/>
    <w:tmpl w:val="4AF4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37032"/>
    <w:multiLevelType w:val="hybridMultilevel"/>
    <w:tmpl w:val="F3B865E4"/>
    <w:lvl w:ilvl="0" w:tplc="D068C0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71C1"/>
    <w:multiLevelType w:val="hybridMultilevel"/>
    <w:tmpl w:val="3CA2A1F8"/>
    <w:lvl w:ilvl="0" w:tplc="971C7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52D82"/>
    <w:multiLevelType w:val="hybridMultilevel"/>
    <w:tmpl w:val="24621156"/>
    <w:lvl w:ilvl="0" w:tplc="EB4C58E8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E13E3"/>
    <w:multiLevelType w:val="hybridMultilevel"/>
    <w:tmpl w:val="23CE091E"/>
    <w:lvl w:ilvl="0" w:tplc="D068C0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7367">
    <w:abstractNumId w:val="0"/>
  </w:num>
  <w:num w:numId="2" w16cid:durableId="1304699465">
    <w:abstractNumId w:val="4"/>
  </w:num>
  <w:num w:numId="3" w16cid:durableId="1761220240">
    <w:abstractNumId w:val="2"/>
  </w:num>
  <w:num w:numId="4" w16cid:durableId="480001215">
    <w:abstractNumId w:val="1"/>
  </w:num>
  <w:num w:numId="5" w16cid:durableId="675380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1D"/>
    <w:rsid w:val="0002569C"/>
    <w:rsid w:val="00116112"/>
    <w:rsid w:val="00143CF4"/>
    <w:rsid w:val="001A3EBE"/>
    <w:rsid w:val="001A4965"/>
    <w:rsid w:val="001C6253"/>
    <w:rsid w:val="001D4846"/>
    <w:rsid w:val="001D6BE1"/>
    <w:rsid w:val="002042A3"/>
    <w:rsid w:val="00230E44"/>
    <w:rsid w:val="00236652"/>
    <w:rsid w:val="002D2FCD"/>
    <w:rsid w:val="0032466D"/>
    <w:rsid w:val="003A51E3"/>
    <w:rsid w:val="004769B2"/>
    <w:rsid w:val="004E7D4C"/>
    <w:rsid w:val="004F0871"/>
    <w:rsid w:val="004F2B85"/>
    <w:rsid w:val="00556933"/>
    <w:rsid w:val="00582296"/>
    <w:rsid w:val="005F738F"/>
    <w:rsid w:val="00633011"/>
    <w:rsid w:val="0065157B"/>
    <w:rsid w:val="0066261D"/>
    <w:rsid w:val="00717F8D"/>
    <w:rsid w:val="007B02EF"/>
    <w:rsid w:val="007D4702"/>
    <w:rsid w:val="007D67AC"/>
    <w:rsid w:val="007E6DB9"/>
    <w:rsid w:val="00825030"/>
    <w:rsid w:val="008314B9"/>
    <w:rsid w:val="00895D83"/>
    <w:rsid w:val="008A21F0"/>
    <w:rsid w:val="00911A0C"/>
    <w:rsid w:val="00944EE8"/>
    <w:rsid w:val="00950991"/>
    <w:rsid w:val="00990E0C"/>
    <w:rsid w:val="009914EF"/>
    <w:rsid w:val="009A2AE3"/>
    <w:rsid w:val="00A2346B"/>
    <w:rsid w:val="00AA3157"/>
    <w:rsid w:val="00AD7009"/>
    <w:rsid w:val="00B12E40"/>
    <w:rsid w:val="00B27231"/>
    <w:rsid w:val="00B612FB"/>
    <w:rsid w:val="00BB3368"/>
    <w:rsid w:val="00BE7155"/>
    <w:rsid w:val="00C04950"/>
    <w:rsid w:val="00CD4038"/>
    <w:rsid w:val="00D011DC"/>
    <w:rsid w:val="00D66E30"/>
    <w:rsid w:val="00E15F3C"/>
    <w:rsid w:val="00E44AF9"/>
    <w:rsid w:val="00E44BFE"/>
    <w:rsid w:val="00E52DC9"/>
    <w:rsid w:val="00E81B61"/>
    <w:rsid w:val="00EC3D02"/>
    <w:rsid w:val="00ED1A17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834E7"/>
  <w15:chartTrackingRefBased/>
  <w15:docId w15:val="{5A1E7867-ED6D-0844-88B6-5843ADA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6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D470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D4702"/>
    <w:rPr>
      <w:i/>
      <w:iCs/>
    </w:rPr>
  </w:style>
  <w:style w:type="character" w:customStyle="1" w:styleId="apple-converted-space">
    <w:name w:val="apple-converted-space"/>
    <w:basedOn w:val="Policepardfaut"/>
    <w:rsid w:val="007D470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70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70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2010/special01/mene1002846c.htm" TargetMode="External"/><Relationship Id="rId13" Type="http://schemas.openxmlformats.org/officeDocument/2006/relationships/hyperlink" Target="https://www.education.gouv.fr/bo/15/Hebdo28/MENE1514630A.htm?cid_bo=911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ucation.gouv.fr/bo/15/Hebdo28/MENE1514630A.htm?cid_bo=911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uv.fr/bo/15/Hebdo14/MENH1506032C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4294126" TargetMode="External"/><Relationship Id="rId10" Type="http://schemas.openxmlformats.org/officeDocument/2006/relationships/hyperlink" Target="https://www.education.gouv.fr/bo/15/Hebdo14/MENH1506032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bo/2010/special01/mene1002846c.htm" TargetMode="External"/><Relationship Id="rId14" Type="http://schemas.openxmlformats.org/officeDocument/2006/relationships/hyperlink" Target="https://www.education.gouv.fr/bo/2010/special01/mene1002846c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Renaudin</dc:creator>
  <cp:keywords/>
  <dc:description/>
  <cp:lastModifiedBy>Sophie Renaudin</cp:lastModifiedBy>
  <cp:revision>2</cp:revision>
  <dcterms:created xsi:type="dcterms:W3CDTF">2022-09-05T08:40:00Z</dcterms:created>
  <dcterms:modified xsi:type="dcterms:W3CDTF">2022-09-05T08:40:00Z</dcterms:modified>
</cp:coreProperties>
</file>